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7DA" w:rsidRPr="00BC17DA" w:rsidRDefault="00BC17DA" w:rsidP="00BC17DA">
      <w:pPr>
        <w:spacing w:line="360" w:lineRule="auto"/>
        <w:contextualSpacing/>
        <w:rPr>
          <w:rFonts w:cstheme="minorHAnsi"/>
          <w:bCs/>
          <w:sz w:val="28"/>
        </w:rPr>
      </w:pPr>
      <w:bookmarkStart w:id="0" w:name="_GoBack"/>
      <w:bookmarkEnd w:id="0"/>
      <w:r w:rsidRPr="00BC17DA">
        <w:rPr>
          <w:rFonts w:cstheme="minorHAnsi"/>
          <w:bCs/>
          <w:sz w:val="28"/>
        </w:rPr>
        <w:t xml:space="preserve">Accuracy of creatinine and Cystatin C </w:t>
      </w:r>
      <w:proofErr w:type="spellStart"/>
      <w:r w:rsidRPr="00BC17DA">
        <w:rPr>
          <w:rFonts w:cstheme="minorHAnsi"/>
          <w:bCs/>
          <w:sz w:val="28"/>
        </w:rPr>
        <w:t>eGFR</w:t>
      </w:r>
      <w:proofErr w:type="spellEnd"/>
      <w:r w:rsidRPr="00BC17DA">
        <w:rPr>
          <w:rFonts w:cstheme="minorHAnsi"/>
          <w:bCs/>
          <w:sz w:val="28"/>
        </w:rPr>
        <w:t xml:space="preserve"> versus </w:t>
      </w:r>
      <w:proofErr w:type="spellStart"/>
      <w:r w:rsidRPr="00BC17DA">
        <w:rPr>
          <w:rFonts w:cstheme="minorHAnsi"/>
          <w:bCs/>
          <w:sz w:val="28"/>
        </w:rPr>
        <w:t>iohexol</w:t>
      </w:r>
      <w:proofErr w:type="spellEnd"/>
      <w:r w:rsidRPr="00BC17DA">
        <w:rPr>
          <w:rFonts w:cstheme="minorHAnsi"/>
          <w:bCs/>
          <w:sz w:val="28"/>
        </w:rPr>
        <w:t xml:space="preserve"> </w:t>
      </w:r>
      <w:proofErr w:type="spellStart"/>
      <w:r w:rsidRPr="00BC17DA">
        <w:rPr>
          <w:rFonts w:cstheme="minorHAnsi"/>
          <w:bCs/>
          <w:sz w:val="28"/>
        </w:rPr>
        <w:t>mGFR</w:t>
      </w:r>
      <w:proofErr w:type="spellEnd"/>
      <w:r w:rsidRPr="00BC17DA">
        <w:rPr>
          <w:rFonts w:cstheme="minorHAnsi"/>
          <w:bCs/>
          <w:sz w:val="28"/>
        </w:rPr>
        <w:t xml:space="preserve"> in an older adult Cystic Fibrosis Population </w:t>
      </w:r>
    </w:p>
    <w:p w:rsidR="00BC17DA" w:rsidRDefault="00BC17DA" w:rsidP="00BC17DA">
      <w:pPr>
        <w:spacing w:line="360" w:lineRule="auto"/>
        <w:contextualSpacing/>
        <w:rPr>
          <w:rFonts w:cstheme="minorHAnsi"/>
          <w:sz w:val="14"/>
        </w:rPr>
      </w:pPr>
    </w:p>
    <w:p w:rsidR="00BC17DA" w:rsidRPr="00BC17DA" w:rsidRDefault="00BC17DA" w:rsidP="00BC17DA">
      <w:pPr>
        <w:spacing w:line="360" w:lineRule="auto"/>
        <w:contextualSpacing/>
        <w:rPr>
          <w:rFonts w:cstheme="minorHAnsi"/>
          <w:sz w:val="14"/>
        </w:rPr>
      </w:pPr>
    </w:p>
    <w:p w:rsidR="00BC17DA" w:rsidRPr="00D13E21" w:rsidRDefault="00BC17DA" w:rsidP="00BC17DA">
      <w:pPr>
        <w:spacing w:line="360" w:lineRule="auto"/>
        <w:contextualSpacing/>
        <w:rPr>
          <w:rFonts w:cstheme="minorHAnsi"/>
          <w:b/>
          <w:bCs/>
          <w:u w:val="single"/>
        </w:rPr>
      </w:pPr>
      <w:r w:rsidRPr="00D13E21">
        <w:rPr>
          <w:rFonts w:cstheme="minorHAnsi"/>
          <w:b/>
          <w:bCs/>
          <w:u w:val="single"/>
        </w:rPr>
        <w:t>Introduction</w:t>
      </w:r>
    </w:p>
    <w:p w:rsidR="00BC17DA" w:rsidRDefault="00BC17DA" w:rsidP="00BC17DA">
      <w:pPr>
        <w:spacing w:line="360" w:lineRule="auto"/>
        <w:contextualSpacing/>
        <w:rPr>
          <w:rFonts w:cstheme="minorHAnsi"/>
        </w:rPr>
      </w:pPr>
      <w:r>
        <w:rPr>
          <w:rFonts w:cstheme="minorHAnsi"/>
        </w:rPr>
        <w:t>Primary renal disease in cystic fibrosis (CF) is rare, however secondary renal dysfunction may become apparent with increasing survival due to the emergence of age-related comorbidities such as CF-related diabetes mellitus (CFRD), systemic hypertension, nephrolithiasis and cardiovascular disease. Inaccuracies in estimations of renal function using creatinine-based glomerular filtration rate (GFR) methods are evident in CF and will have implications for monitoring renal decline, dosing nephrotoxic medication and quantifying cardiovascular risk in an ageing CF population. This study aims to explore renal function and reliability of estimated GFR in an older CF cohort.</w:t>
      </w:r>
    </w:p>
    <w:p w:rsidR="00BC17DA" w:rsidRPr="00BC17DA" w:rsidRDefault="00BC17DA" w:rsidP="00BC17DA">
      <w:pPr>
        <w:spacing w:line="360" w:lineRule="auto"/>
        <w:contextualSpacing/>
        <w:rPr>
          <w:rFonts w:cstheme="minorHAnsi"/>
          <w:sz w:val="16"/>
          <w:szCs w:val="16"/>
        </w:rPr>
      </w:pPr>
    </w:p>
    <w:p w:rsidR="00BC17DA" w:rsidRPr="00D13E21" w:rsidRDefault="00BC17DA" w:rsidP="00BC17DA">
      <w:pPr>
        <w:spacing w:line="360" w:lineRule="auto"/>
        <w:contextualSpacing/>
        <w:rPr>
          <w:rFonts w:cstheme="minorHAnsi"/>
          <w:b/>
          <w:bCs/>
          <w:u w:val="single"/>
        </w:rPr>
      </w:pPr>
      <w:r w:rsidRPr="00D13E21">
        <w:rPr>
          <w:rFonts w:cstheme="minorHAnsi"/>
          <w:b/>
          <w:bCs/>
          <w:u w:val="single"/>
        </w:rPr>
        <w:t>Methods</w:t>
      </w:r>
    </w:p>
    <w:p w:rsidR="00BC17DA" w:rsidRPr="003A1607" w:rsidRDefault="00BC17DA" w:rsidP="00BC17DA">
      <w:pPr>
        <w:spacing w:line="360" w:lineRule="auto"/>
        <w:contextualSpacing/>
        <w:rPr>
          <w:rFonts w:cstheme="minorHAnsi"/>
        </w:rPr>
      </w:pPr>
      <w:r>
        <w:rPr>
          <w:rFonts w:cstheme="minorHAnsi"/>
        </w:rPr>
        <w:t>CF patients aged 40 years and above attending MACFC were recruited. Prospective sampling for serum creatinine, serum cystatin C, urine albumin-creatinine ratio (ACR) and 24-hour urinary creatinine clearance was performed during periods of clinical stability. Estimated GFR (</w:t>
      </w:r>
      <w:proofErr w:type="spellStart"/>
      <w:r>
        <w:rPr>
          <w:rFonts w:cstheme="minorHAnsi"/>
        </w:rPr>
        <w:t>eGFR</w:t>
      </w:r>
      <w:proofErr w:type="spellEnd"/>
      <w:r>
        <w:rPr>
          <w:rFonts w:cstheme="minorHAnsi"/>
        </w:rPr>
        <w:t xml:space="preserve">) was calculated using MDRD and CKD-EPI equations. A subgroup of 9 patients underwent </w:t>
      </w:r>
      <w:proofErr w:type="spellStart"/>
      <w:r>
        <w:rPr>
          <w:rFonts w:cstheme="minorHAnsi"/>
        </w:rPr>
        <w:t>iohexol</w:t>
      </w:r>
      <w:proofErr w:type="spellEnd"/>
      <w:r>
        <w:rPr>
          <w:rFonts w:cstheme="minorHAnsi"/>
        </w:rPr>
        <w:t xml:space="preserve"> clearance ‘measured’ GFR (</w:t>
      </w:r>
      <w:proofErr w:type="spellStart"/>
      <w:r>
        <w:rPr>
          <w:rFonts w:cstheme="minorHAnsi"/>
        </w:rPr>
        <w:t>mGFR</w:t>
      </w:r>
      <w:proofErr w:type="spellEnd"/>
      <w:r>
        <w:rPr>
          <w:rFonts w:cstheme="minorHAnsi"/>
        </w:rPr>
        <w:t xml:space="preserve">), using a three-point, one compartment protocol. Estimated GFR methods were compared to </w:t>
      </w:r>
      <w:proofErr w:type="spellStart"/>
      <w:r>
        <w:rPr>
          <w:rFonts w:cstheme="minorHAnsi"/>
        </w:rPr>
        <w:t>iohexol</w:t>
      </w:r>
      <w:proofErr w:type="spellEnd"/>
      <w:r>
        <w:rPr>
          <w:rFonts w:cstheme="minorHAnsi"/>
        </w:rPr>
        <w:t xml:space="preserve"> GFR to determine their accuracy in this population. </w:t>
      </w:r>
    </w:p>
    <w:p w:rsidR="00BC17DA" w:rsidRPr="00BC17DA" w:rsidRDefault="00BC17DA" w:rsidP="00BC17DA">
      <w:pPr>
        <w:spacing w:line="360" w:lineRule="auto"/>
        <w:contextualSpacing/>
        <w:rPr>
          <w:rFonts w:cstheme="minorHAnsi"/>
          <w:sz w:val="16"/>
          <w:szCs w:val="16"/>
        </w:rPr>
      </w:pPr>
    </w:p>
    <w:p w:rsidR="00BC17DA" w:rsidRPr="00D13E21" w:rsidRDefault="00BC17DA" w:rsidP="00BC17DA">
      <w:pPr>
        <w:spacing w:line="360" w:lineRule="auto"/>
        <w:contextualSpacing/>
        <w:rPr>
          <w:rFonts w:cstheme="minorHAnsi"/>
          <w:b/>
          <w:bCs/>
          <w:u w:val="single"/>
        </w:rPr>
      </w:pPr>
      <w:r w:rsidRPr="00D13E21">
        <w:rPr>
          <w:rFonts w:cstheme="minorHAnsi"/>
          <w:b/>
          <w:bCs/>
          <w:u w:val="single"/>
        </w:rPr>
        <w:t>Results</w:t>
      </w:r>
    </w:p>
    <w:p w:rsidR="00BC17DA" w:rsidRPr="00816482" w:rsidRDefault="00BC17DA" w:rsidP="00BC17DA">
      <w:pPr>
        <w:spacing w:line="360" w:lineRule="auto"/>
        <w:contextualSpacing/>
        <w:rPr>
          <w:rFonts w:cstheme="minorHAnsi"/>
        </w:rPr>
      </w:pPr>
      <w:r w:rsidRPr="001C07B4">
        <w:rPr>
          <w:rFonts w:cstheme="minorHAnsi"/>
        </w:rPr>
        <w:t xml:space="preserve">Nine patients were recruited for </w:t>
      </w:r>
      <w:proofErr w:type="spellStart"/>
      <w:r w:rsidRPr="001C07B4">
        <w:rPr>
          <w:rFonts w:cstheme="minorHAnsi"/>
        </w:rPr>
        <w:t>iohexol</w:t>
      </w:r>
      <w:proofErr w:type="spellEnd"/>
      <w:r w:rsidRPr="001C07B4">
        <w:rPr>
          <w:rFonts w:cstheme="minorHAnsi"/>
        </w:rPr>
        <w:t xml:space="preserve"> GFR</w:t>
      </w:r>
      <w:r>
        <w:rPr>
          <w:rFonts w:cstheme="minorHAnsi"/>
        </w:rPr>
        <w:t xml:space="preserve"> analysis</w:t>
      </w:r>
      <w:r w:rsidRPr="001C07B4">
        <w:rPr>
          <w:rFonts w:cstheme="minorHAnsi"/>
        </w:rPr>
        <w:t>.</w:t>
      </w:r>
      <w:r>
        <w:rPr>
          <w:rFonts w:cstheme="minorHAnsi"/>
        </w:rPr>
        <w:t xml:space="preserve"> </w:t>
      </w:r>
      <w:r w:rsidRPr="001C07B4">
        <w:rPr>
          <w:rFonts w:cstheme="minorHAnsi"/>
        </w:rPr>
        <w:t>The mean age of this smaller cohort was 48.3 (</w:t>
      </w:r>
      <w:r w:rsidRPr="001C07B4">
        <w:rPr>
          <w:rFonts w:ascii="Calibri" w:hAnsi="Calibri" w:cstheme="minorHAnsi"/>
        </w:rPr>
        <w:t>±</w:t>
      </w:r>
      <w:r w:rsidRPr="001C07B4">
        <w:rPr>
          <w:rFonts w:cstheme="minorHAnsi"/>
        </w:rPr>
        <w:t xml:space="preserve">6.4) years. Seven (77.8%) had a diagnosis of CFRD. Mean </w:t>
      </w:r>
      <w:r>
        <w:rPr>
          <w:rFonts w:cstheme="minorHAnsi"/>
        </w:rPr>
        <w:t>pp</w:t>
      </w:r>
      <w:r w:rsidRPr="001C07B4">
        <w:rPr>
          <w:rFonts w:cstheme="minorHAnsi"/>
        </w:rPr>
        <w:t>FEV</w:t>
      </w:r>
      <w:r w:rsidRPr="00BA11FD">
        <w:rPr>
          <w:rFonts w:cstheme="minorHAnsi"/>
          <w:vertAlign w:val="subscript"/>
        </w:rPr>
        <w:t>1</w:t>
      </w:r>
      <w:r w:rsidRPr="001C07B4">
        <w:rPr>
          <w:rFonts w:cstheme="minorHAnsi"/>
        </w:rPr>
        <w:t xml:space="preserve"> was 46.3(</w:t>
      </w:r>
      <w:r w:rsidRPr="001C07B4">
        <w:rPr>
          <w:rFonts w:ascii="Calibri" w:hAnsi="Calibri" w:cstheme="minorHAnsi"/>
        </w:rPr>
        <w:t>±</w:t>
      </w:r>
      <w:r w:rsidRPr="001C07B4">
        <w:rPr>
          <w:rFonts w:cstheme="minorHAnsi"/>
        </w:rPr>
        <w:t>20.2)%, mean BMI was 25.4(</w:t>
      </w:r>
      <w:r w:rsidRPr="001C07B4">
        <w:rPr>
          <w:rFonts w:ascii="Calibri" w:hAnsi="Calibri" w:cstheme="minorHAnsi"/>
        </w:rPr>
        <w:t>±2.0) kg/m</w:t>
      </w:r>
      <w:r w:rsidRPr="001C07B4">
        <w:rPr>
          <w:rFonts w:ascii="Calibri" w:hAnsi="Calibri" w:cstheme="minorHAnsi"/>
          <w:vertAlign w:val="superscript"/>
        </w:rPr>
        <w:t>2</w:t>
      </w:r>
      <w:r w:rsidRPr="001C07B4">
        <w:rPr>
          <w:rFonts w:ascii="Calibri" w:hAnsi="Calibri" w:cstheme="minorHAnsi"/>
        </w:rPr>
        <w:t>.</w:t>
      </w:r>
      <w:r>
        <w:rPr>
          <w:rFonts w:cstheme="minorHAnsi"/>
        </w:rPr>
        <w:t xml:space="preserve"> Mean </w:t>
      </w:r>
      <w:proofErr w:type="spellStart"/>
      <w:r>
        <w:rPr>
          <w:rFonts w:cstheme="minorHAnsi"/>
        </w:rPr>
        <w:t>iohexol</w:t>
      </w:r>
      <w:proofErr w:type="spellEnd"/>
      <w:r>
        <w:rPr>
          <w:rFonts w:cstheme="minorHAnsi"/>
        </w:rPr>
        <w:t xml:space="preserve"> GFR of the subgroup was well preserved at </w:t>
      </w:r>
      <w:r>
        <w:t>116.1(</w:t>
      </w:r>
      <w:r>
        <w:rPr>
          <w:rFonts w:ascii="Calibri" w:hAnsi="Calibri"/>
        </w:rPr>
        <w:t>±</w:t>
      </w:r>
      <w:r>
        <w:t>20.1) ml/min/1.73m</w:t>
      </w:r>
      <w:r w:rsidRPr="006C04BC">
        <w:rPr>
          <w:vertAlign w:val="superscript"/>
        </w:rPr>
        <w:t>2</w:t>
      </w:r>
      <w:r>
        <w:t>.</w:t>
      </w:r>
      <w:r>
        <w:rPr>
          <w:rFonts w:cstheme="minorHAnsi"/>
        </w:rPr>
        <w:t xml:space="preserve"> Estimated GFR methods using both serum creatinine and cystatin C underestimated GFR significantly in this population. However, using </w:t>
      </w:r>
      <w:proofErr w:type="spellStart"/>
      <w:r>
        <w:rPr>
          <w:rFonts w:cstheme="minorHAnsi"/>
        </w:rPr>
        <w:t>iohexol</w:t>
      </w:r>
      <w:proofErr w:type="spellEnd"/>
      <w:r>
        <w:rPr>
          <w:rFonts w:cstheme="minorHAnsi"/>
        </w:rPr>
        <w:t xml:space="preserve"> </w:t>
      </w:r>
      <w:proofErr w:type="spellStart"/>
      <w:r>
        <w:rPr>
          <w:rFonts w:cstheme="minorHAnsi"/>
        </w:rPr>
        <w:t>mGFR</w:t>
      </w:r>
      <w:proofErr w:type="spellEnd"/>
      <w:r>
        <w:rPr>
          <w:rFonts w:cstheme="minorHAnsi"/>
        </w:rPr>
        <w:t xml:space="preserve"> as gold standard, CKD-</w:t>
      </w:r>
      <w:proofErr w:type="spellStart"/>
      <w:r>
        <w:rPr>
          <w:rFonts w:cstheme="minorHAnsi"/>
        </w:rPr>
        <w:t>EPIcreat</w:t>
      </w:r>
      <w:proofErr w:type="spellEnd"/>
      <w:r>
        <w:rPr>
          <w:rFonts w:cstheme="minorHAnsi"/>
        </w:rPr>
        <w:t xml:space="preserve"> and </w:t>
      </w:r>
      <w:proofErr w:type="spellStart"/>
      <w:r>
        <w:rPr>
          <w:rFonts w:cstheme="minorHAnsi"/>
        </w:rPr>
        <w:t>CKD-EPIcysC+creat</w:t>
      </w:r>
      <w:proofErr w:type="spellEnd"/>
      <w:r>
        <w:rPr>
          <w:rFonts w:cstheme="minorHAnsi"/>
        </w:rPr>
        <w:t xml:space="preserve"> were the most accurate with 77.8% of values within 30% of measured GFR. </w:t>
      </w:r>
    </w:p>
    <w:p w:rsidR="00BC17DA" w:rsidRDefault="00BC17DA" w:rsidP="00BC17DA">
      <w:pPr>
        <w:spacing w:line="360" w:lineRule="auto"/>
        <w:contextualSpacing/>
        <w:rPr>
          <w:rFonts w:cstheme="minorHAnsi"/>
        </w:rPr>
      </w:pPr>
      <w:r>
        <w:rPr>
          <w:rFonts w:cstheme="minorHAnsi"/>
        </w:rPr>
        <w:t xml:space="preserve">There was a significant difference in GFR results between </w:t>
      </w:r>
      <w:proofErr w:type="spellStart"/>
      <w:r>
        <w:rPr>
          <w:rFonts w:cstheme="minorHAnsi"/>
        </w:rPr>
        <w:t>iohexol</w:t>
      </w:r>
      <w:proofErr w:type="spellEnd"/>
      <w:r>
        <w:rPr>
          <w:rFonts w:cstheme="minorHAnsi"/>
        </w:rPr>
        <w:t xml:space="preserve"> </w:t>
      </w:r>
      <w:proofErr w:type="spellStart"/>
      <w:r>
        <w:rPr>
          <w:rFonts w:cstheme="minorHAnsi"/>
        </w:rPr>
        <w:t>mGFR</w:t>
      </w:r>
      <w:proofErr w:type="spellEnd"/>
      <w:r>
        <w:rPr>
          <w:rFonts w:cstheme="minorHAnsi"/>
        </w:rPr>
        <w:t xml:space="preserve"> and all </w:t>
      </w:r>
      <w:proofErr w:type="spellStart"/>
      <w:r>
        <w:rPr>
          <w:rFonts w:cstheme="minorHAnsi"/>
        </w:rPr>
        <w:t>eGFR</w:t>
      </w:r>
      <w:proofErr w:type="spellEnd"/>
      <w:r>
        <w:rPr>
          <w:rFonts w:cstheme="minorHAnsi"/>
        </w:rPr>
        <w:t xml:space="preserve"> methods using T-testing (p&lt;0.001), with underestimation of GFR for all patients using estimated methods. Bland Altman plots were constructed for each </w:t>
      </w:r>
      <w:proofErr w:type="spellStart"/>
      <w:r>
        <w:rPr>
          <w:rFonts w:cstheme="minorHAnsi"/>
        </w:rPr>
        <w:t>eGFR</w:t>
      </w:r>
      <w:proofErr w:type="spellEnd"/>
      <w:r>
        <w:rPr>
          <w:rFonts w:cstheme="minorHAnsi"/>
        </w:rPr>
        <w:t xml:space="preserve"> method and </w:t>
      </w:r>
      <w:proofErr w:type="spellStart"/>
      <w:r>
        <w:rPr>
          <w:rFonts w:cstheme="minorHAnsi"/>
        </w:rPr>
        <w:t>iohexol</w:t>
      </w:r>
      <w:proofErr w:type="spellEnd"/>
      <w:r>
        <w:rPr>
          <w:rFonts w:cstheme="minorHAnsi"/>
        </w:rPr>
        <w:t xml:space="preserve"> GFR for assessment of bias and the extent of inaccuracy between methods.</w:t>
      </w:r>
    </w:p>
    <w:p w:rsidR="00BC17DA" w:rsidRDefault="00BC17DA" w:rsidP="00BC17DA">
      <w:pPr>
        <w:spacing w:line="360" w:lineRule="auto"/>
        <w:contextualSpacing/>
        <w:rPr>
          <w:rFonts w:cstheme="minorHAnsi"/>
        </w:rPr>
      </w:pPr>
    </w:p>
    <w:p w:rsidR="00BC17DA" w:rsidRDefault="00BC17DA" w:rsidP="00BC17DA">
      <w:pPr>
        <w:pStyle w:val="ListParagraph"/>
        <w:numPr>
          <w:ilvl w:val="0"/>
          <w:numId w:val="2"/>
        </w:numPr>
        <w:spacing w:line="360" w:lineRule="auto"/>
        <w:ind w:left="0" w:hanging="142"/>
        <w:rPr>
          <w:rFonts w:cstheme="minorHAnsi"/>
          <w:b/>
          <w:bCs/>
        </w:rPr>
      </w:pPr>
      <w:proofErr w:type="spellStart"/>
      <w:r>
        <w:rPr>
          <w:rFonts w:cstheme="minorHAnsi"/>
          <w:b/>
          <w:bCs/>
        </w:rPr>
        <w:lastRenderedPageBreak/>
        <w:t>Iohexol</w:t>
      </w:r>
      <w:proofErr w:type="spellEnd"/>
      <w:r>
        <w:rPr>
          <w:rFonts w:cstheme="minorHAnsi"/>
          <w:b/>
          <w:bCs/>
        </w:rPr>
        <w:t xml:space="preserve"> vs MDRD</w:t>
      </w:r>
    </w:p>
    <w:p w:rsidR="00BC17DA" w:rsidRDefault="00BC17DA" w:rsidP="00BC17DA">
      <w:pPr>
        <w:spacing w:line="360" w:lineRule="auto"/>
        <w:ind w:hanging="142"/>
        <w:contextualSpacing/>
        <w:rPr>
          <w:rFonts w:cstheme="minorHAnsi"/>
        </w:rPr>
      </w:pPr>
      <w:r w:rsidRPr="000035CD">
        <w:rPr>
          <w:rFonts w:cstheme="minorHAnsi"/>
          <w:noProof/>
          <w:lang w:eastAsia="en-GB"/>
        </w:rPr>
        <w:drawing>
          <wp:inline distT="0" distB="0" distL="0" distR="0" wp14:anchorId="7E70A9EA" wp14:editId="43336101">
            <wp:extent cx="4467225" cy="24288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86127" cy="2439152"/>
                    </a:xfrm>
                    <a:prstGeom prst="rect">
                      <a:avLst/>
                    </a:prstGeom>
                    <a:ln>
                      <a:solidFill>
                        <a:prstClr val="black"/>
                      </a:solidFill>
                    </a:ln>
                  </pic:spPr>
                </pic:pic>
              </a:graphicData>
            </a:graphic>
          </wp:inline>
        </w:drawing>
      </w:r>
    </w:p>
    <w:p w:rsidR="00BC17DA" w:rsidRDefault="00BC17DA" w:rsidP="00BC17DA">
      <w:pPr>
        <w:spacing w:line="360" w:lineRule="auto"/>
        <w:ind w:hanging="142"/>
        <w:contextualSpacing/>
        <w:rPr>
          <w:rFonts w:cstheme="minorHAnsi"/>
          <w:i/>
          <w:iCs/>
          <w:sz w:val="16"/>
          <w:szCs w:val="16"/>
        </w:rPr>
      </w:pPr>
    </w:p>
    <w:p w:rsidR="00BC17DA" w:rsidRPr="00437452" w:rsidRDefault="00BC17DA" w:rsidP="00BC17DA">
      <w:pPr>
        <w:pStyle w:val="ListParagraph"/>
        <w:numPr>
          <w:ilvl w:val="0"/>
          <w:numId w:val="2"/>
        </w:numPr>
        <w:spacing w:line="360" w:lineRule="auto"/>
        <w:ind w:left="0" w:hanging="142"/>
        <w:rPr>
          <w:rFonts w:cstheme="minorHAnsi"/>
          <w:b/>
          <w:bCs/>
          <w:u w:val="single"/>
        </w:rPr>
      </w:pPr>
      <w:proofErr w:type="spellStart"/>
      <w:r w:rsidRPr="00437452">
        <w:rPr>
          <w:rFonts w:cstheme="minorHAnsi"/>
          <w:b/>
          <w:bCs/>
          <w:u w:val="single"/>
        </w:rPr>
        <w:t>Iohexol</w:t>
      </w:r>
      <w:proofErr w:type="spellEnd"/>
      <w:r w:rsidRPr="00437452">
        <w:rPr>
          <w:rFonts w:cstheme="minorHAnsi"/>
          <w:b/>
          <w:bCs/>
          <w:u w:val="single"/>
        </w:rPr>
        <w:t xml:space="preserve"> vs CKD-</w:t>
      </w:r>
      <w:proofErr w:type="spellStart"/>
      <w:r w:rsidRPr="00437452">
        <w:rPr>
          <w:rFonts w:cstheme="minorHAnsi"/>
          <w:b/>
          <w:bCs/>
          <w:u w:val="single"/>
        </w:rPr>
        <w:t>EPIcreat</w:t>
      </w:r>
      <w:proofErr w:type="spellEnd"/>
    </w:p>
    <w:p w:rsidR="00BC17DA" w:rsidRPr="00982B9C" w:rsidRDefault="00BC17DA" w:rsidP="00BC17DA">
      <w:pPr>
        <w:spacing w:line="360" w:lineRule="auto"/>
        <w:contextualSpacing/>
        <w:rPr>
          <w:rFonts w:cstheme="minorHAnsi"/>
          <w:b/>
          <w:bCs/>
          <w:u w:val="single"/>
        </w:rPr>
      </w:pPr>
      <w:r w:rsidRPr="00C50367">
        <w:rPr>
          <w:rFonts w:cstheme="minorHAnsi"/>
          <w:b/>
          <w:bCs/>
          <w:noProof/>
          <w:u w:val="single"/>
          <w:lang w:eastAsia="en-GB"/>
        </w:rPr>
        <w:drawing>
          <wp:inline distT="0" distB="0" distL="0" distR="0" wp14:anchorId="520FCE0E" wp14:editId="4360E0C1">
            <wp:extent cx="4486275" cy="252412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5665" cy="2523782"/>
                    </a:xfrm>
                    <a:prstGeom prst="rect">
                      <a:avLst/>
                    </a:prstGeom>
                    <a:ln>
                      <a:solidFill>
                        <a:prstClr val="black"/>
                      </a:solidFill>
                    </a:ln>
                  </pic:spPr>
                </pic:pic>
              </a:graphicData>
            </a:graphic>
          </wp:inline>
        </w:drawing>
      </w:r>
    </w:p>
    <w:p w:rsidR="00BC17DA" w:rsidRPr="00BC17DA" w:rsidRDefault="00BC17DA" w:rsidP="00BC17DA">
      <w:pPr>
        <w:pStyle w:val="ListParagraph"/>
        <w:spacing w:line="360" w:lineRule="auto"/>
        <w:ind w:left="1080"/>
        <w:rPr>
          <w:rFonts w:cstheme="minorHAnsi"/>
          <w:b/>
          <w:bCs/>
          <w:sz w:val="16"/>
          <w:u w:val="single"/>
        </w:rPr>
      </w:pPr>
    </w:p>
    <w:p w:rsidR="00BC17DA" w:rsidRPr="00BC17DA" w:rsidRDefault="00BC17DA" w:rsidP="00BC17DA">
      <w:pPr>
        <w:pStyle w:val="ListParagraph"/>
        <w:numPr>
          <w:ilvl w:val="0"/>
          <w:numId w:val="2"/>
        </w:numPr>
        <w:spacing w:line="360" w:lineRule="auto"/>
        <w:ind w:left="0" w:firstLine="1"/>
        <w:rPr>
          <w:rFonts w:cstheme="minorHAnsi"/>
          <w:b/>
          <w:bCs/>
          <w:u w:val="single"/>
        </w:rPr>
      </w:pPr>
      <w:proofErr w:type="spellStart"/>
      <w:r w:rsidRPr="00BC17DA">
        <w:rPr>
          <w:rFonts w:cstheme="minorHAnsi"/>
          <w:b/>
          <w:bCs/>
          <w:u w:val="single"/>
        </w:rPr>
        <w:t>Iohexol</w:t>
      </w:r>
      <w:proofErr w:type="spellEnd"/>
      <w:r w:rsidRPr="00BC17DA">
        <w:rPr>
          <w:rFonts w:cstheme="minorHAnsi"/>
          <w:b/>
          <w:bCs/>
          <w:u w:val="single"/>
        </w:rPr>
        <w:t xml:space="preserve"> vs CKD-</w:t>
      </w:r>
      <w:proofErr w:type="spellStart"/>
      <w:r w:rsidRPr="00BC17DA">
        <w:rPr>
          <w:rFonts w:cstheme="minorHAnsi"/>
          <w:b/>
          <w:bCs/>
          <w:u w:val="single"/>
        </w:rPr>
        <w:t>EPIcys</w:t>
      </w:r>
      <w:proofErr w:type="spellEnd"/>
    </w:p>
    <w:p w:rsidR="00BC17DA" w:rsidRPr="003740E2" w:rsidRDefault="00BC17DA" w:rsidP="00BC17DA">
      <w:pPr>
        <w:spacing w:line="360" w:lineRule="auto"/>
        <w:contextualSpacing/>
        <w:rPr>
          <w:rFonts w:cstheme="minorHAnsi"/>
        </w:rPr>
      </w:pPr>
      <w:r w:rsidRPr="00C50367">
        <w:rPr>
          <w:rFonts w:cstheme="minorHAnsi"/>
          <w:noProof/>
          <w:lang w:eastAsia="en-GB"/>
        </w:rPr>
        <w:drawing>
          <wp:inline distT="0" distB="0" distL="0" distR="0" wp14:anchorId="0FAA2B10" wp14:editId="0E42CEC5">
            <wp:extent cx="4543425" cy="2681366"/>
            <wp:effectExtent l="19050" t="19050" r="952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063" cy="2692365"/>
                    </a:xfrm>
                    <a:prstGeom prst="rect">
                      <a:avLst/>
                    </a:prstGeom>
                    <a:ln>
                      <a:solidFill>
                        <a:prstClr val="black"/>
                      </a:solidFill>
                    </a:ln>
                  </pic:spPr>
                </pic:pic>
              </a:graphicData>
            </a:graphic>
          </wp:inline>
        </w:drawing>
      </w:r>
    </w:p>
    <w:p w:rsidR="00BC17DA" w:rsidRDefault="00BC17DA" w:rsidP="00BC17DA">
      <w:pPr>
        <w:spacing w:line="360" w:lineRule="auto"/>
        <w:contextualSpacing/>
        <w:rPr>
          <w:rFonts w:cstheme="minorHAnsi"/>
          <w:i/>
          <w:iCs/>
          <w:sz w:val="22"/>
          <w:szCs w:val="22"/>
        </w:rPr>
      </w:pPr>
    </w:p>
    <w:p w:rsidR="00BC17DA" w:rsidRPr="00BC17DA" w:rsidRDefault="00BC17DA" w:rsidP="00BC17DA">
      <w:pPr>
        <w:pStyle w:val="ListParagraph"/>
        <w:numPr>
          <w:ilvl w:val="0"/>
          <w:numId w:val="2"/>
        </w:numPr>
        <w:spacing w:line="360" w:lineRule="auto"/>
        <w:ind w:left="0" w:firstLine="1"/>
        <w:rPr>
          <w:rFonts w:cstheme="minorHAnsi"/>
          <w:i/>
          <w:iCs/>
          <w:sz w:val="22"/>
          <w:szCs w:val="22"/>
        </w:rPr>
      </w:pPr>
      <w:proofErr w:type="spellStart"/>
      <w:r w:rsidRPr="00BC17DA">
        <w:rPr>
          <w:rFonts w:cstheme="minorHAnsi"/>
          <w:b/>
          <w:bCs/>
          <w:u w:val="single"/>
        </w:rPr>
        <w:t>Iohexol</w:t>
      </w:r>
      <w:proofErr w:type="spellEnd"/>
      <w:r w:rsidRPr="00BC17DA">
        <w:rPr>
          <w:rFonts w:cstheme="minorHAnsi"/>
          <w:b/>
          <w:bCs/>
          <w:u w:val="single"/>
        </w:rPr>
        <w:t xml:space="preserve"> vs </w:t>
      </w:r>
      <w:proofErr w:type="spellStart"/>
      <w:r w:rsidRPr="00BC17DA">
        <w:rPr>
          <w:rFonts w:cstheme="minorHAnsi"/>
          <w:b/>
          <w:bCs/>
          <w:u w:val="single"/>
        </w:rPr>
        <w:t>CKD-EPIcreat+cys</w:t>
      </w:r>
      <w:proofErr w:type="spellEnd"/>
    </w:p>
    <w:p w:rsidR="00BC17DA" w:rsidRDefault="00BC17DA" w:rsidP="00BC17DA">
      <w:pPr>
        <w:spacing w:line="360" w:lineRule="auto"/>
        <w:contextualSpacing/>
        <w:rPr>
          <w:rFonts w:cstheme="minorHAnsi"/>
        </w:rPr>
      </w:pPr>
      <w:r w:rsidRPr="004160AD">
        <w:rPr>
          <w:rFonts w:cstheme="minorHAnsi"/>
          <w:noProof/>
          <w:lang w:eastAsia="en-GB"/>
        </w:rPr>
        <w:drawing>
          <wp:inline distT="0" distB="0" distL="0" distR="0" wp14:anchorId="142CF0C9" wp14:editId="1B1E1A66">
            <wp:extent cx="4610100" cy="2720713"/>
            <wp:effectExtent l="19050" t="19050" r="1905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6164" cy="2730193"/>
                    </a:xfrm>
                    <a:prstGeom prst="rect">
                      <a:avLst/>
                    </a:prstGeom>
                    <a:ln>
                      <a:solidFill>
                        <a:prstClr val="black"/>
                      </a:solidFill>
                    </a:ln>
                  </pic:spPr>
                </pic:pic>
              </a:graphicData>
            </a:graphic>
          </wp:inline>
        </w:drawing>
      </w:r>
    </w:p>
    <w:p w:rsidR="00BC17DA" w:rsidRDefault="00BC17DA" w:rsidP="00BC17DA">
      <w:pPr>
        <w:spacing w:line="360" w:lineRule="auto"/>
        <w:contextualSpacing/>
        <w:rPr>
          <w:rFonts w:cstheme="minorHAnsi"/>
        </w:rPr>
      </w:pPr>
    </w:p>
    <w:p w:rsidR="00BC17DA" w:rsidRPr="00BC17DA" w:rsidRDefault="00BC17DA" w:rsidP="00BC17DA">
      <w:pPr>
        <w:spacing w:line="360" w:lineRule="auto"/>
        <w:contextualSpacing/>
        <w:rPr>
          <w:rFonts w:cstheme="minorHAnsi"/>
          <w:b/>
          <w:u w:val="single"/>
        </w:rPr>
      </w:pPr>
      <w:r w:rsidRPr="00BC17DA">
        <w:rPr>
          <w:rFonts w:cstheme="minorHAnsi"/>
          <w:b/>
          <w:u w:val="single"/>
        </w:rPr>
        <w:t>Discussion</w:t>
      </w:r>
    </w:p>
    <w:p w:rsidR="00BC17DA" w:rsidRDefault="00BC17DA" w:rsidP="00BC17DA">
      <w:pPr>
        <w:spacing w:line="360" w:lineRule="auto"/>
        <w:contextualSpacing/>
        <w:rPr>
          <w:rFonts w:cstheme="minorHAnsi"/>
        </w:rPr>
      </w:pPr>
      <w:r w:rsidRPr="00BE77C5">
        <w:rPr>
          <w:rFonts w:cstheme="minorHAnsi"/>
        </w:rPr>
        <w:t xml:space="preserve">Although </w:t>
      </w:r>
      <w:r>
        <w:rPr>
          <w:rFonts w:cstheme="minorHAnsi"/>
        </w:rPr>
        <w:t>patient numbers</w:t>
      </w:r>
      <w:r w:rsidRPr="00BE77C5">
        <w:rPr>
          <w:rFonts w:cstheme="minorHAnsi"/>
        </w:rPr>
        <w:t xml:space="preserve"> are small, we can see that the</w:t>
      </w:r>
      <w:r>
        <w:rPr>
          <w:rFonts w:cstheme="minorHAnsi"/>
        </w:rPr>
        <w:t xml:space="preserve"> vertical spread of data points is larger at higher mean GFR values. This indicates that the</w:t>
      </w:r>
      <w:r w:rsidRPr="00BE77C5">
        <w:rPr>
          <w:rFonts w:cstheme="minorHAnsi"/>
        </w:rPr>
        <w:t xml:space="preserve"> difference between methods</w:t>
      </w:r>
      <w:r>
        <w:rPr>
          <w:rFonts w:cstheme="minorHAnsi"/>
        </w:rPr>
        <w:t>, and hence the bias,</w:t>
      </w:r>
      <w:r w:rsidRPr="00BE77C5">
        <w:rPr>
          <w:rFonts w:cstheme="minorHAnsi"/>
        </w:rPr>
        <w:t xml:space="preserve"> becomes more apparent with increasing </w:t>
      </w:r>
      <w:r>
        <w:rPr>
          <w:rFonts w:cstheme="minorHAnsi"/>
        </w:rPr>
        <w:t xml:space="preserve">mean </w:t>
      </w:r>
      <w:r w:rsidRPr="00BE77C5">
        <w:rPr>
          <w:rFonts w:cstheme="minorHAnsi"/>
        </w:rPr>
        <w:t>GFR</w:t>
      </w:r>
      <w:r>
        <w:rPr>
          <w:rFonts w:cstheme="minorHAnsi"/>
        </w:rPr>
        <w:t xml:space="preserve"> for all </w:t>
      </w:r>
      <w:proofErr w:type="spellStart"/>
      <w:r>
        <w:rPr>
          <w:rFonts w:cstheme="minorHAnsi"/>
        </w:rPr>
        <w:t>eGFR</w:t>
      </w:r>
      <w:proofErr w:type="spellEnd"/>
      <w:r>
        <w:rPr>
          <w:rFonts w:cstheme="minorHAnsi"/>
        </w:rPr>
        <w:t xml:space="preserve"> methods compared to </w:t>
      </w:r>
      <w:proofErr w:type="spellStart"/>
      <w:r>
        <w:rPr>
          <w:rFonts w:cstheme="minorHAnsi"/>
        </w:rPr>
        <w:t>iohexol</w:t>
      </w:r>
      <w:proofErr w:type="spellEnd"/>
      <w:r>
        <w:rPr>
          <w:rFonts w:cstheme="minorHAnsi"/>
        </w:rPr>
        <w:t xml:space="preserve">. Small patient numbers also produce large limits of agreement (LOA) for each method comparison, leading to a high systematic difference between methods, indicating that, in this patient group, each </w:t>
      </w:r>
      <w:proofErr w:type="spellStart"/>
      <w:r>
        <w:rPr>
          <w:rFonts w:cstheme="minorHAnsi"/>
        </w:rPr>
        <w:t>eGFR</w:t>
      </w:r>
      <w:proofErr w:type="spellEnd"/>
      <w:r>
        <w:rPr>
          <w:rFonts w:cstheme="minorHAnsi"/>
        </w:rPr>
        <w:t xml:space="preserve"> method underestimates GFR compared to </w:t>
      </w:r>
      <w:proofErr w:type="spellStart"/>
      <w:r>
        <w:rPr>
          <w:rFonts w:cstheme="minorHAnsi"/>
        </w:rPr>
        <w:t>iohexol</w:t>
      </w:r>
      <w:proofErr w:type="spellEnd"/>
      <w:r>
        <w:rPr>
          <w:rFonts w:cstheme="minorHAnsi"/>
        </w:rPr>
        <w:t xml:space="preserve">. We cannot confidently assess the degree of proportional bias with regression analysis due to small patient numbers and lack of significant correlation between </w:t>
      </w:r>
      <w:proofErr w:type="spellStart"/>
      <w:r>
        <w:rPr>
          <w:rFonts w:cstheme="minorHAnsi"/>
        </w:rPr>
        <w:t>iohexol</w:t>
      </w:r>
      <w:proofErr w:type="spellEnd"/>
      <w:r>
        <w:rPr>
          <w:rFonts w:cstheme="minorHAnsi"/>
        </w:rPr>
        <w:t xml:space="preserve"> GFR and </w:t>
      </w:r>
      <w:proofErr w:type="spellStart"/>
      <w:r>
        <w:rPr>
          <w:rFonts w:cstheme="minorHAnsi"/>
        </w:rPr>
        <w:t>eGFR</w:t>
      </w:r>
      <w:proofErr w:type="spellEnd"/>
      <w:r>
        <w:rPr>
          <w:rFonts w:cstheme="minorHAnsi"/>
        </w:rPr>
        <w:t xml:space="preserve"> methods.</w:t>
      </w:r>
    </w:p>
    <w:p w:rsidR="00463DE0" w:rsidRDefault="000F4165" w:rsidP="00BC17DA">
      <w:pPr>
        <w:spacing w:line="360" w:lineRule="auto"/>
        <w:contextualSpacing/>
      </w:pPr>
    </w:p>
    <w:sectPr w:rsidR="00463DE0" w:rsidSect="00BC17D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F718E"/>
    <w:multiLevelType w:val="hybridMultilevel"/>
    <w:tmpl w:val="11789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6B40052"/>
    <w:multiLevelType w:val="hybridMultilevel"/>
    <w:tmpl w:val="FBD0F258"/>
    <w:lvl w:ilvl="0" w:tplc="E4D42722">
      <w:start w:val="1"/>
      <w:numFmt w:val="lowerLetter"/>
      <w:lvlText w:val="%1."/>
      <w:lvlJc w:val="left"/>
      <w:pPr>
        <w:ind w:left="1495"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7DA"/>
    <w:rsid w:val="000F4165"/>
    <w:rsid w:val="00627175"/>
    <w:rsid w:val="00BC17DA"/>
    <w:rsid w:val="00EE7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7D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7DA"/>
    <w:pPr>
      <w:ind w:left="720"/>
      <w:contextualSpacing/>
    </w:pPr>
  </w:style>
  <w:style w:type="character" w:styleId="CommentReference">
    <w:name w:val="annotation reference"/>
    <w:basedOn w:val="DefaultParagraphFont"/>
    <w:uiPriority w:val="99"/>
    <w:semiHidden/>
    <w:unhideWhenUsed/>
    <w:rsid w:val="00BC17DA"/>
    <w:rPr>
      <w:sz w:val="16"/>
      <w:szCs w:val="16"/>
    </w:rPr>
  </w:style>
  <w:style w:type="paragraph" w:styleId="CommentText">
    <w:name w:val="annotation text"/>
    <w:basedOn w:val="Normal"/>
    <w:link w:val="CommentTextChar"/>
    <w:uiPriority w:val="99"/>
    <w:semiHidden/>
    <w:unhideWhenUsed/>
    <w:rsid w:val="00BC17DA"/>
    <w:rPr>
      <w:sz w:val="20"/>
      <w:szCs w:val="20"/>
    </w:rPr>
  </w:style>
  <w:style w:type="character" w:customStyle="1" w:styleId="CommentTextChar">
    <w:name w:val="Comment Text Char"/>
    <w:basedOn w:val="DefaultParagraphFont"/>
    <w:link w:val="CommentText"/>
    <w:uiPriority w:val="99"/>
    <w:semiHidden/>
    <w:rsid w:val="00BC17DA"/>
    <w:rPr>
      <w:sz w:val="20"/>
      <w:szCs w:val="20"/>
    </w:rPr>
  </w:style>
  <w:style w:type="paragraph" w:styleId="BalloonText">
    <w:name w:val="Balloon Text"/>
    <w:basedOn w:val="Normal"/>
    <w:link w:val="BalloonTextChar"/>
    <w:uiPriority w:val="99"/>
    <w:semiHidden/>
    <w:unhideWhenUsed/>
    <w:rsid w:val="00BC17DA"/>
    <w:rPr>
      <w:rFonts w:ascii="Tahoma" w:hAnsi="Tahoma" w:cs="Tahoma"/>
      <w:sz w:val="16"/>
      <w:szCs w:val="16"/>
    </w:rPr>
  </w:style>
  <w:style w:type="character" w:customStyle="1" w:styleId="BalloonTextChar">
    <w:name w:val="Balloon Text Char"/>
    <w:basedOn w:val="DefaultParagraphFont"/>
    <w:link w:val="BalloonText"/>
    <w:uiPriority w:val="99"/>
    <w:semiHidden/>
    <w:rsid w:val="00BC17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7D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7DA"/>
    <w:pPr>
      <w:ind w:left="720"/>
      <w:contextualSpacing/>
    </w:pPr>
  </w:style>
  <w:style w:type="character" w:styleId="CommentReference">
    <w:name w:val="annotation reference"/>
    <w:basedOn w:val="DefaultParagraphFont"/>
    <w:uiPriority w:val="99"/>
    <w:semiHidden/>
    <w:unhideWhenUsed/>
    <w:rsid w:val="00BC17DA"/>
    <w:rPr>
      <w:sz w:val="16"/>
      <w:szCs w:val="16"/>
    </w:rPr>
  </w:style>
  <w:style w:type="paragraph" w:styleId="CommentText">
    <w:name w:val="annotation text"/>
    <w:basedOn w:val="Normal"/>
    <w:link w:val="CommentTextChar"/>
    <w:uiPriority w:val="99"/>
    <w:semiHidden/>
    <w:unhideWhenUsed/>
    <w:rsid w:val="00BC17DA"/>
    <w:rPr>
      <w:sz w:val="20"/>
      <w:szCs w:val="20"/>
    </w:rPr>
  </w:style>
  <w:style w:type="character" w:customStyle="1" w:styleId="CommentTextChar">
    <w:name w:val="Comment Text Char"/>
    <w:basedOn w:val="DefaultParagraphFont"/>
    <w:link w:val="CommentText"/>
    <w:uiPriority w:val="99"/>
    <w:semiHidden/>
    <w:rsid w:val="00BC17DA"/>
    <w:rPr>
      <w:sz w:val="20"/>
      <w:szCs w:val="20"/>
    </w:rPr>
  </w:style>
  <w:style w:type="paragraph" w:styleId="BalloonText">
    <w:name w:val="Balloon Text"/>
    <w:basedOn w:val="Normal"/>
    <w:link w:val="BalloonTextChar"/>
    <w:uiPriority w:val="99"/>
    <w:semiHidden/>
    <w:unhideWhenUsed/>
    <w:rsid w:val="00BC17DA"/>
    <w:rPr>
      <w:rFonts w:ascii="Tahoma" w:hAnsi="Tahoma" w:cs="Tahoma"/>
      <w:sz w:val="16"/>
      <w:szCs w:val="16"/>
    </w:rPr>
  </w:style>
  <w:style w:type="character" w:customStyle="1" w:styleId="BalloonTextChar">
    <w:name w:val="Balloon Text Char"/>
    <w:basedOn w:val="DefaultParagraphFont"/>
    <w:link w:val="BalloonText"/>
    <w:uiPriority w:val="99"/>
    <w:semiHidden/>
    <w:rsid w:val="00BC17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463</Words>
  <Characters>2644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Darren</dc:creator>
  <cp:lastModifiedBy>Davies Jacqueline (R0A) Manchester University NHS FT</cp:lastModifiedBy>
  <cp:revision>2</cp:revision>
  <dcterms:created xsi:type="dcterms:W3CDTF">2021-02-23T10:57:00Z</dcterms:created>
  <dcterms:modified xsi:type="dcterms:W3CDTF">2021-02-23T10:57:00Z</dcterms:modified>
</cp:coreProperties>
</file>